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54652" w14:textId="3289764E" w:rsidR="00B45CA8" w:rsidRPr="002F1A36" w:rsidRDefault="006B2E8A" w:rsidP="006B2E8A">
      <w:pPr>
        <w:jc w:val="right"/>
        <w:rPr>
          <w:b/>
          <w:bCs/>
        </w:rPr>
      </w:pPr>
      <w:r w:rsidRPr="002F1A36">
        <w:rPr>
          <w:b/>
          <w:bCs/>
        </w:rPr>
        <w:t>SPS priedas Nr. 13</w:t>
      </w:r>
    </w:p>
    <w:p w14:paraId="49F5C9FF" w14:textId="25E79F66" w:rsidR="006B2E8A" w:rsidRPr="002F1A36" w:rsidRDefault="006B2E8A" w:rsidP="006B2E8A">
      <w:pPr>
        <w:jc w:val="center"/>
        <w:rPr>
          <w:b/>
          <w:bCs/>
        </w:rPr>
      </w:pPr>
      <w:r w:rsidRPr="002F1A36">
        <w:rPr>
          <w:b/>
          <w:bCs/>
        </w:rPr>
        <w:t>Pa</w:t>
      </w:r>
      <w:r w:rsidR="00054A8B" w:rsidRPr="002F1A36">
        <w:rPr>
          <w:b/>
          <w:bCs/>
        </w:rPr>
        <w:t>grindimas dėl pirkimo neskaidymo į d</w:t>
      </w:r>
      <w:r w:rsidR="00F84F91" w:rsidRPr="002F1A36">
        <w:rPr>
          <w:b/>
          <w:bCs/>
        </w:rPr>
        <w:t>alis</w:t>
      </w:r>
    </w:p>
    <w:p w14:paraId="02D274FA" w14:textId="77777777" w:rsidR="00F84F91" w:rsidRPr="002F1A36" w:rsidRDefault="00F84F91" w:rsidP="006B2E8A">
      <w:pPr>
        <w:jc w:val="center"/>
        <w:rPr>
          <w:b/>
          <w:bCs/>
        </w:rPr>
      </w:pPr>
    </w:p>
    <w:p w14:paraId="3C414AE7" w14:textId="5003AF05" w:rsidR="00BD635D" w:rsidRPr="002F1A36" w:rsidRDefault="00BD635D" w:rsidP="3F218133">
      <w:pPr>
        <w:jc w:val="both"/>
      </w:pPr>
      <w:r w:rsidRPr="002F1A36">
        <w:t>UAB Vilniaus vystymo kompanija (toliau – Perk</w:t>
      </w:r>
      <w:r w:rsidR="00F84F91" w:rsidRPr="002F1A36">
        <w:t xml:space="preserve">imo </w:t>
      </w:r>
      <w:r w:rsidR="002657C4" w:rsidRPr="002F1A36">
        <w:t>vykdytojas</w:t>
      </w:r>
      <w:r w:rsidRPr="002F1A36">
        <w:t xml:space="preserve">) įgyvendina kultūros paskirties pastato – nacionalinės koncertų salės Tautos namai (toliau – Koncertų salė) projektą. Projektas įgyvendinamas atskirų viešųjų pirkimų pagrindu ir suskaidžius objektą į dalis, </w:t>
      </w:r>
      <w:proofErr w:type="spellStart"/>
      <w:r w:rsidRPr="002F1A36">
        <w:t>t.y</w:t>
      </w:r>
      <w:proofErr w:type="spellEnd"/>
      <w:r w:rsidRPr="002F1A36">
        <w:t>. atskiru pirkim</w:t>
      </w:r>
      <w:r w:rsidR="006345F3" w:rsidRPr="002F1A36">
        <w:t>u</w:t>
      </w:r>
      <w:r w:rsidRPr="002F1A36">
        <w:t xml:space="preserve"> buvo įsigyti architektūriniai sprendiniai ir techninio projekto parengimas, darbo projekto ir statybos darbų atlikimas. Tokiu būdu, perkančioji organizacija įgyvendina ir laikosi Viešųjų pirkimų įstatymo 28 straipsnio reikalavimų ir siekia užtikrinti Viešųjų pirkimų įstatymo 17 straipsnyje įtvirtintų viešųjų pirkimų principų ir tikslų.</w:t>
      </w:r>
    </w:p>
    <w:p w14:paraId="2FE3576F" w14:textId="52BE985D" w:rsidR="00BD635D" w:rsidRPr="002F1A36" w:rsidRDefault="00BD635D" w:rsidP="3F218133">
      <w:pPr>
        <w:jc w:val="both"/>
        <w:rPr>
          <w:rFonts w:eastAsia="Times New Roman"/>
        </w:rPr>
      </w:pPr>
      <w:r w:rsidRPr="002F1A36">
        <w:t xml:space="preserve">Projekto pilnam įgyvendinimui taip pat reikalinga įsigyti </w:t>
      </w:r>
      <w:r w:rsidR="009261B3" w:rsidRPr="002F1A36">
        <w:rPr>
          <w:bCs/>
        </w:rPr>
        <w:t xml:space="preserve">Kultūros paskirties pastato V. </w:t>
      </w:r>
      <w:proofErr w:type="spellStart"/>
      <w:r w:rsidR="009261B3" w:rsidRPr="002F1A36">
        <w:rPr>
          <w:bCs/>
        </w:rPr>
        <w:t>Mykolaičo</w:t>
      </w:r>
      <w:proofErr w:type="spellEnd"/>
      <w:r w:rsidR="009261B3" w:rsidRPr="002F1A36">
        <w:rPr>
          <w:bCs/>
        </w:rPr>
        <w:t>-Putino g. 5, Vilnius, rekonstravimo technologinių dalių rangos darb</w:t>
      </w:r>
      <w:r w:rsidR="009261B3" w:rsidRPr="002F1A36">
        <w:rPr>
          <w:bCs/>
        </w:rPr>
        <w:t>ų</w:t>
      </w:r>
      <w:r w:rsidR="009261B3" w:rsidRPr="002F1A36">
        <w:rPr>
          <w:bCs/>
        </w:rPr>
        <w:t xml:space="preserve"> kartu su darbo projekto perengimu</w:t>
      </w:r>
      <w:r w:rsidR="002F1A36" w:rsidRPr="002F1A36">
        <w:rPr>
          <w:rFonts w:eastAsia="Times New Roman"/>
        </w:rPr>
        <w:t xml:space="preserve"> </w:t>
      </w:r>
      <w:r w:rsidRPr="002F1A36">
        <w:rPr>
          <w:rFonts w:eastAsia="Times New Roman"/>
        </w:rPr>
        <w:t>pirkim</w:t>
      </w:r>
      <w:r w:rsidR="002F1A36" w:rsidRPr="002F1A36">
        <w:rPr>
          <w:rFonts w:eastAsia="Times New Roman"/>
        </w:rPr>
        <w:t>ą</w:t>
      </w:r>
      <w:r w:rsidRPr="002F1A36">
        <w:rPr>
          <w:rFonts w:eastAsia="Times New Roman"/>
        </w:rPr>
        <w:t xml:space="preserve"> (toliau - Pirkimas). Pirkimas vykdomas kaip prekių viešasis pirkimas, Viešųjų pirkimų įstatymo prasme, tačiau atsižvelgiant į tai, jog Perkančiajai organizacijai nėra perduodamos pačios prekės kaip tokios atskiros, o jos sumontuojamos ir įdiegiamos, pasiekiami tam tikri funkciniai reikalavimai, bei perduodamas bendras sutarties vykdymo rezultatas, tai atitinka būtent Lietuvos Respublikos civiliniame kodekse (toliau - CK) apibrėžtą rangos sutarties sampratą ir, todėl su laimėjusiu tiekėju bus sudaroma rangos viešojo pirkimo sutartis (CK 6.644 str.).</w:t>
      </w:r>
    </w:p>
    <w:p w14:paraId="3F9E1D28" w14:textId="2C9D7CEB" w:rsidR="00BD635D" w:rsidRPr="002F1A36" w:rsidRDefault="00BD635D" w:rsidP="3F218133">
      <w:pPr>
        <w:jc w:val="both"/>
        <w:rPr>
          <w:rFonts w:eastAsia="Times New Roman"/>
        </w:rPr>
      </w:pPr>
      <w:r w:rsidRPr="002F1A36">
        <w:rPr>
          <w:rFonts w:eastAsia="Times New Roman"/>
        </w:rPr>
        <w:t xml:space="preserve">Nors </w:t>
      </w:r>
      <w:r w:rsidR="00F90076" w:rsidRPr="002F1A36">
        <w:rPr>
          <w:rFonts w:eastAsia="Times New Roman"/>
        </w:rPr>
        <w:t>Pirkimo vykdytojas</w:t>
      </w:r>
      <w:r w:rsidRPr="002F1A36">
        <w:rPr>
          <w:rFonts w:eastAsia="Times New Roman"/>
        </w:rPr>
        <w:t xml:space="preserve"> Koncertų salės projekto įgyvendinimui reikalingus pirkimus jau suskaidė į atskiras dalis ir objektus, tokiu būdu užtikrinant Viešųjų pirkimų įstatymo 28 straipsnio reikalavimus, šiuo </w:t>
      </w:r>
      <w:r w:rsidR="00383B5A" w:rsidRPr="002F1A36">
        <w:rPr>
          <w:rFonts w:eastAsia="Times New Roman"/>
        </w:rPr>
        <w:t>Pirkimo vykdytojas</w:t>
      </w:r>
      <w:r w:rsidRPr="002F1A36">
        <w:rPr>
          <w:rFonts w:eastAsia="Times New Roman"/>
        </w:rPr>
        <w:t xml:space="preserve"> papildomai motyvuoja ir pagrindžia dėl vykdomo Pirkimo objekto atitikimo Viešųjų pirkimų įstatymo 28 straipsniui.</w:t>
      </w:r>
    </w:p>
    <w:p w14:paraId="2FD16D96" w14:textId="30CDFDBE" w:rsidR="00BD635D" w:rsidRPr="002F1A36" w:rsidRDefault="00BD635D" w:rsidP="3F218133">
      <w:pPr>
        <w:jc w:val="both"/>
      </w:pPr>
      <w:r w:rsidRPr="002F1A36">
        <w:t xml:space="preserve">Pirma, atlikus rinkos tyrimą ir atsižvelgiant į panašių objektų sutartis, matoma, jog šiame Pirkime dalyvaus būtent smulkaus arba vidutinio verslo įmonės, </w:t>
      </w:r>
      <w:proofErr w:type="spellStart"/>
      <w:r w:rsidRPr="002F1A36">
        <w:t>t.y</w:t>
      </w:r>
      <w:proofErr w:type="spellEnd"/>
      <w:r w:rsidRPr="002F1A36">
        <w:t xml:space="preserve">. mažos (įmonės, kurių apyvarta iki 10 mln. Eur per metus) arba vidutinės įmonės (įmonės, kurių apyvarta iki 50 mln. Eur per metus), kaip jas apibrėžia Lietuvos Respublikos smulkaus ir vidutinio verslo plėtos įstatymas. Kitaip tariant, Pirkimas yra skirtas ir pritaikytas būtent šioms įmonėms, jį atskyrus nuo pagrindinių statybos darbų ir Koncertų salės įrengimo. Pats Pirkimo objekto turinys ir jį sudarančios garso, audiovizualinė bei apšvietimo ir scenos įranga, nelemia, jog minėtos įmonės negali dalyvauti Pirkime. Todėl </w:t>
      </w:r>
      <w:r w:rsidR="00464482" w:rsidRPr="002F1A36">
        <w:t>Pirkimo vykdytojas</w:t>
      </w:r>
      <w:r w:rsidRPr="002F1A36">
        <w:t xml:space="preserve"> sprendžia ir šiuo pagrindžia, kad Pirkimo objekto neskaidymas į dar smulkesnes dalis, niekaip neriboja smulkaus ir vidutinio verslo (mažų ar vidutinių įmonių) dalyvavimo pirkime ir atitinka Viešųjų pirkimų įstatymo 28 straipsnio reikalavimus.</w:t>
      </w:r>
    </w:p>
    <w:p w14:paraId="1065D61B" w14:textId="698C289B" w:rsidR="00BD635D" w:rsidRPr="002F1A36" w:rsidRDefault="00BD635D" w:rsidP="3F218133">
      <w:pPr>
        <w:jc w:val="both"/>
      </w:pPr>
      <w:r w:rsidRPr="002F1A36">
        <w:t xml:space="preserve">Antra, Pirkimo objekto skaidymas į dar smulkesnes dalis būtų nepriimtinas ir lemtų Pirkimo sutarties rezultatų galimą nepriimtinumą </w:t>
      </w:r>
      <w:r w:rsidR="00985510" w:rsidRPr="002F1A36">
        <w:t>Pirkimo vykdytojui</w:t>
      </w:r>
      <w:r w:rsidRPr="002F1A36">
        <w:t xml:space="preserve"> ir susijusias rizikas, kurios turės įtakos neefektyviam lėšų naudojimui (Viešųjų pirkimų įstatymo 17 str.), netinkamam rezultatui ir rizikoms, kurios kelia grėsmę Koncertų salės projekto tinkamam įrengimui. Be to, kaip nurodyta, jis nevaržo konkurencijos ir neriboja galimybių šia veikla besiverčiantiems tiekėjams, pateikti pasiūlymus ir dalyvauti Pirkime.</w:t>
      </w:r>
    </w:p>
    <w:p w14:paraId="2DD38FA5" w14:textId="77777777" w:rsidR="00BD635D" w:rsidRPr="002F1A36" w:rsidRDefault="00BD635D" w:rsidP="3F218133">
      <w:pPr>
        <w:jc w:val="both"/>
        <w:rPr>
          <w:rFonts w:eastAsia="Times New Roman"/>
        </w:rPr>
      </w:pPr>
      <w:r w:rsidRPr="002F1A36">
        <w:t xml:space="preserve">Atsižvelgdama į teismų praktikoje suformuotus pirkimo objektų sujungimo tikslingumo ir proporcingumo (Lietuvos Aukščiausiojo Teismo Civilinių bylų skyriaus 2017 m. liepos 12 d. nutartis civilinėje byloje Nr. e3K-3-322-916/2017), pirkimo objektų sujungimo į vieną pagrindimo svarbiomis priežastimis (Lietuvos Aukščiausiojo Teismo Civilinių bylų skyriaus 2015 m. balandžio 7 d. nutartis civilinėje byloje Nr. 3K-3-183-248/2015) aspektus, šuo pažymi, jog, viena vertus, vien dėl Pirkimo objekto </w:t>
      </w:r>
      <w:proofErr w:type="spellStart"/>
      <w:r w:rsidRPr="002F1A36">
        <w:t>komuliatyvumo</w:t>
      </w:r>
      <w:proofErr w:type="spellEnd"/>
      <w:r w:rsidRPr="002F1A36">
        <w:t xml:space="preserve">, tai nelemia nepagrįsto ar neproporcingo konkurencijos ribojimo. Tiekėjai, veikiantys šioje veiklos srityje, įprastai tiekia ir montuoja kultūros, sporto ir kitos panašios infrastruktūros objektų scenos, apšvietimo ir garso ar ir audiovizualinę technologinę dalį. Antra vertus, </w:t>
      </w:r>
      <w:r w:rsidRPr="002F1A36">
        <w:rPr>
          <w:rFonts w:eastAsia="Times New Roman"/>
        </w:rPr>
        <w:t xml:space="preserve">sceninės mechaninės / inžinerinės įrangos, </w:t>
      </w:r>
      <w:r w:rsidRPr="002F1A36">
        <w:rPr>
          <w:rFonts w:eastAsia="Times New Roman"/>
        </w:rPr>
        <w:lastRenderedPageBreak/>
        <w:t xml:space="preserve">sceninio apšvietimo sistemų ir salių ir įrašų studijos audiovizualinių sistemų įrengimas yra susijęs su tarpusavyje susijusių ir suderinamumą užtikrinančių sistemų parinkimą, sumontavimą ir suderinimą, tuo pačiu naudojančią bendrą ir iš dalies susijusią elektrotechnikos infrastruktūrą. Koncertų salės įrengimas ir apšvietimo, scenos ir kitų sistemų atveju būtinas ne tik šių sistemų nepriekaištingas veikimas, tačiau ir tarpusavio suderinamumas, valdymo ir aptarnavimo užtikrinimas, kai funkcinių reikalavimų užtikrinimui gali turėti ir atskirų sistemų parametrai, veikimas, kurio tarpusavio suderinamumą ir nepriekaištingą veikimą turi užtikrinti būtent tiekėjas. Parinkus skirtingus tiekėjus, iš esmės kyla rizika dėl rezultato, tinkamo veikimo, nekalbant apie projekto valdymą, garantinį aptarnavimą ir projekto įgyvendinimo rizikas. </w:t>
      </w:r>
    </w:p>
    <w:p w14:paraId="283A6B82" w14:textId="40FEA032" w:rsidR="00BD635D" w:rsidRPr="002F1A36" w:rsidRDefault="00BD635D" w:rsidP="3F218133">
      <w:pPr>
        <w:jc w:val="both"/>
      </w:pPr>
      <w:r w:rsidRPr="002F1A36">
        <w:rPr>
          <w:rFonts w:eastAsia="Times New Roman"/>
        </w:rPr>
        <w:t xml:space="preserve">Atsižvelgiant į visa tai bei į tai, jog kaip </w:t>
      </w:r>
      <w:r w:rsidR="003B1D6A" w:rsidRPr="002F1A36">
        <w:rPr>
          <w:rFonts w:eastAsia="Times New Roman"/>
        </w:rPr>
        <w:t>Pirkimo vykdytoj</w:t>
      </w:r>
      <w:r w:rsidR="00303CFB" w:rsidRPr="002F1A36">
        <w:rPr>
          <w:rFonts w:eastAsia="Times New Roman"/>
        </w:rPr>
        <w:t>o</w:t>
      </w:r>
      <w:r w:rsidRPr="002F1A36">
        <w:rPr>
          <w:rFonts w:eastAsia="Times New Roman"/>
        </w:rPr>
        <w:t xml:space="preserve"> jau pagrįsta, jį jau suskaidė Koncertų salės projekto pirkimus į atskiras dalis (projektavimas</w:t>
      </w:r>
      <w:r w:rsidR="007333F0" w:rsidRPr="002F1A36">
        <w:rPr>
          <w:rFonts w:eastAsia="Times New Roman"/>
        </w:rPr>
        <w:t xml:space="preserve"> (techninio projekto rengimas)</w:t>
      </w:r>
      <w:r w:rsidRPr="002F1A36">
        <w:rPr>
          <w:rFonts w:eastAsia="Times New Roman"/>
        </w:rPr>
        <w:t xml:space="preserve">, statyba, technologinė įranga), vykdomas Pirkimas sudaro prielaidas mažoms ir vidutinėms įmonėms dalyvauti jame, o Pirkimo objekto </w:t>
      </w:r>
      <w:proofErr w:type="spellStart"/>
      <w:r w:rsidRPr="002F1A36">
        <w:rPr>
          <w:rFonts w:eastAsia="Times New Roman"/>
        </w:rPr>
        <w:t>komuliatyvumas</w:t>
      </w:r>
      <w:proofErr w:type="spellEnd"/>
      <w:r w:rsidRPr="002F1A36">
        <w:rPr>
          <w:rFonts w:eastAsia="Times New Roman"/>
        </w:rPr>
        <w:t xml:space="preserve"> nelemia neigiamo ir Viešųjų pirkimų įstatymo 17 str. pažeidžiančio konkurencijos suvaržymo, šiuo pagrindžiama, kad Pirkimas ir jo Pirkimo objektas atitinka Viešųjų pirkimų įstatymo 28 str.</w:t>
      </w:r>
    </w:p>
    <w:p w14:paraId="08090C26" w14:textId="0D514806" w:rsidR="000A71DD" w:rsidRPr="002F1A36" w:rsidRDefault="000A71DD">
      <w:pPr>
        <w:pStyle w:val="Sraopastraipa"/>
        <w:spacing w:after="0" w:line="300" w:lineRule="auto"/>
        <w:ind w:left="0"/>
        <w:jc w:val="both"/>
        <w:rPr>
          <w:rFonts w:eastAsia="Arial"/>
        </w:rPr>
      </w:pPr>
      <w:r w:rsidRPr="002F1A36">
        <w:t>Pirkimo vykdytojas kartu su rangos darbais įsigyja darbo projekto dalių, kurios nurodytos Specialiųjų pirkimo sąlygų 6 priede, parengimo paslaugas, siekdamas užtikrinti, jog rangos darbus atliekantis subjektas, pats rengdamas darbo projekto dalis, kartu siekdamas efektyvumo ir kaštų taupymo, parinktų tarpusavyje derančias medžiagas, įrangą, sprendinius, kurie atitinka techninį projektą bei užtikrintų darbus atliekančių subjektų konkurenciją įsigyjant medžiagas ir įrangą už geriausią kainą bei tai įtvirtinant darbo projekto dalyse.</w:t>
      </w:r>
      <w:r w:rsidRPr="002F1A36">
        <w:rPr>
          <w:rFonts w:eastAsia="Arial"/>
        </w:rPr>
        <w:t xml:space="preserve"> </w:t>
      </w:r>
      <w:r w:rsidRPr="002F1A36">
        <w:rPr>
          <w:rFonts w:eastAsia="Arial"/>
          <w:color w:val="333333"/>
        </w:rPr>
        <w:t>Taip pat v</w:t>
      </w:r>
      <w:r w:rsidRPr="002F1A36">
        <w:rPr>
          <w:rFonts w:eastAsia="Arial"/>
          <w:color w:val="000000" w:themeColor="text1"/>
        </w:rPr>
        <w:t xml:space="preserve">ienas konkurso laimėtojas galės lygiagrečiai, siekiant optimalaus terminų įgyvendinimo, atlikti darbo projekto rengimo ir </w:t>
      </w:r>
      <w:r w:rsidR="001229C0" w:rsidRPr="002F1A36">
        <w:rPr>
          <w:rFonts w:eastAsia="Arial"/>
          <w:color w:val="000000" w:themeColor="text1"/>
        </w:rPr>
        <w:t>rangos</w:t>
      </w:r>
      <w:r w:rsidRPr="002F1A36">
        <w:rPr>
          <w:rFonts w:eastAsia="Arial"/>
          <w:color w:val="000000" w:themeColor="text1"/>
        </w:rPr>
        <w:t xml:space="preserve"> darbus, t. y. projektuoti, o kartu ir ruoštis </w:t>
      </w:r>
      <w:r w:rsidR="00C05CA4" w:rsidRPr="002F1A36">
        <w:rPr>
          <w:rFonts w:eastAsia="Arial"/>
          <w:color w:val="000000" w:themeColor="text1"/>
        </w:rPr>
        <w:t xml:space="preserve">rangos </w:t>
      </w:r>
      <w:r w:rsidRPr="002F1A36">
        <w:rPr>
          <w:rFonts w:eastAsia="Arial"/>
          <w:color w:val="000000" w:themeColor="text1"/>
        </w:rPr>
        <w:t xml:space="preserve">darbams, atlikti kai kuriuos paruošiamuosius darbus, planuoti reikalingą techniką, vykdyti apžvalgomuosius darbus. </w:t>
      </w:r>
      <w:r w:rsidRPr="002F1A36">
        <w:rPr>
          <w:rFonts w:eastAsia="Arial"/>
          <w:color w:val="333333"/>
        </w:rPr>
        <w:t xml:space="preserve">Jeigu darbo projekto dalies parengimas ir </w:t>
      </w:r>
      <w:r w:rsidR="00C05CA4" w:rsidRPr="002F1A36">
        <w:rPr>
          <w:rFonts w:eastAsia="Arial"/>
          <w:color w:val="333333"/>
        </w:rPr>
        <w:t xml:space="preserve">rangos </w:t>
      </w:r>
      <w:r w:rsidRPr="002F1A36">
        <w:rPr>
          <w:rFonts w:eastAsia="Arial"/>
          <w:color w:val="333333"/>
        </w:rPr>
        <w:t xml:space="preserve">darbų atlikimas būtų paskirtas keliems skirtingiems tiekėjams, Pirkimo vykdytojui būtų apsunkintas sutartinių įsipareigojimų vykdymo užtikrinimas, t. y. tiekėjų įsipareigojimų kontrolės, darbo projekto bei </w:t>
      </w:r>
      <w:r w:rsidR="002568EB" w:rsidRPr="002F1A36">
        <w:rPr>
          <w:rFonts w:eastAsia="Arial"/>
          <w:color w:val="333333"/>
        </w:rPr>
        <w:t xml:space="preserve">rangos </w:t>
      </w:r>
      <w:r w:rsidRPr="002F1A36">
        <w:rPr>
          <w:rFonts w:eastAsia="Arial"/>
          <w:color w:val="333333"/>
        </w:rPr>
        <w:t xml:space="preserve">darbų kokybės vertinimo, terminų laikymosi, specialistų kaitos priežiūra, praktiškai neįgyvendinamu gali tapti </w:t>
      </w:r>
      <w:r w:rsidR="00AB1C63" w:rsidRPr="002F1A36">
        <w:rPr>
          <w:rFonts w:eastAsia="Arial"/>
          <w:color w:val="333333"/>
        </w:rPr>
        <w:t>rangos</w:t>
      </w:r>
      <w:r w:rsidRPr="002F1A36">
        <w:rPr>
          <w:rFonts w:eastAsia="Arial"/>
          <w:color w:val="333333"/>
        </w:rPr>
        <w:t xml:space="preserve"> darbų ir (ar) darbo projekto rengimo koordinavimas. P</w:t>
      </w:r>
      <w:r w:rsidRPr="002F1A36">
        <w:rPr>
          <w:rFonts w:eastAsia="Arial"/>
        </w:rPr>
        <w:t>irkimo vykdytojui</w:t>
      </w:r>
      <w:r w:rsidRPr="002F1A36">
        <w:rPr>
          <w:rFonts w:eastAsia="Arial"/>
          <w:color w:val="333333"/>
        </w:rPr>
        <w:t xml:space="preserve"> būtų sudėtinga užtikrinti kokybiško </w:t>
      </w:r>
      <w:r w:rsidR="007A7979" w:rsidRPr="002F1A36">
        <w:rPr>
          <w:rFonts w:eastAsia="Arial"/>
          <w:color w:val="333333"/>
        </w:rPr>
        <w:t>rangos</w:t>
      </w:r>
      <w:r w:rsidRPr="002F1A36">
        <w:rPr>
          <w:rFonts w:eastAsia="Arial"/>
          <w:color w:val="333333"/>
        </w:rPr>
        <w:t xml:space="preserve"> darbų gali atsirasti rizika Pirkimo vykdytojui negauti pasiūlymo vienai ar kitai Pirkimo daliai, dėl ko Pirkimo vykdytojui kiltų grėsmė laiku neįgyvendinti šiuo Pirkimu numatomų Darbų dėl užsitęsusių Pirkimo procedūrų.</w:t>
      </w:r>
    </w:p>
    <w:p w14:paraId="5E23C1BA" w14:textId="77777777" w:rsidR="000A71DD" w:rsidRPr="003D2571" w:rsidRDefault="000A71DD" w:rsidP="003D2571">
      <w:pPr>
        <w:pStyle w:val="Sraopastraipa"/>
        <w:spacing w:after="0" w:line="300" w:lineRule="auto"/>
        <w:ind w:left="0"/>
        <w:jc w:val="both"/>
        <w:rPr>
          <w:rFonts w:eastAsia="Arial"/>
        </w:rPr>
      </w:pPr>
      <w:r w:rsidRPr="002F1A36">
        <w:rPr>
          <w:rFonts w:eastAsia="Arial"/>
          <w:color w:val="333333"/>
        </w:rPr>
        <w:t>Pirkimo vykdytojas šiuo pirkimu yra numatęs tiesioginio atsiskaitymo su subtiekėju (-</w:t>
      </w:r>
      <w:proofErr w:type="spellStart"/>
      <w:r w:rsidRPr="002F1A36">
        <w:rPr>
          <w:rFonts w:eastAsia="Arial"/>
          <w:color w:val="333333"/>
        </w:rPr>
        <w:t>ais</w:t>
      </w:r>
      <w:proofErr w:type="spellEnd"/>
      <w:r w:rsidRPr="002F1A36">
        <w:rPr>
          <w:rFonts w:eastAsia="Arial"/>
          <w:color w:val="333333"/>
        </w:rPr>
        <w:t>) galimybę. Tokiu būdu galės būti išlaikomas darbo projekto rengėjo, jeigu tam būtų pasitelktas subtiekėjas, nepriklausomumas nuo tiekėjo.</w:t>
      </w:r>
      <w:r w:rsidRPr="003D2571">
        <w:rPr>
          <w:rFonts w:eastAsia="Arial"/>
          <w:color w:val="000000" w:themeColor="text1"/>
        </w:rPr>
        <w:t xml:space="preserve"> </w:t>
      </w:r>
      <w:r w:rsidRPr="003D2571">
        <w:rPr>
          <w:rFonts w:eastAsia="Arial"/>
        </w:rPr>
        <w:t xml:space="preserve"> </w:t>
      </w:r>
    </w:p>
    <w:p w14:paraId="643B2767" w14:textId="77777777" w:rsidR="00BD635D" w:rsidRPr="009261B3" w:rsidRDefault="00BD635D" w:rsidP="3F218133">
      <w:pPr>
        <w:jc w:val="both"/>
      </w:pPr>
    </w:p>
    <w:p w14:paraId="52A26D20" w14:textId="77777777" w:rsidR="00BD635D" w:rsidRPr="00BD635D" w:rsidRDefault="00BD635D" w:rsidP="006B2E8A">
      <w:pPr>
        <w:jc w:val="center"/>
        <w:rPr>
          <w:b/>
          <w:bCs/>
        </w:rPr>
      </w:pPr>
    </w:p>
    <w:sectPr w:rsidR="00BD635D" w:rsidRPr="00BD635D" w:rsidSect="0036161C">
      <w:pgSz w:w="12240" w:h="15840"/>
      <w:pgMar w:top="1134" w:right="567" w:bottom="1134" w:left="1701" w:header="737" w:footer="73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746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8D8"/>
    <w:rsid w:val="00012455"/>
    <w:rsid w:val="00015878"/>
    <w:rsid w:val="0002209C"/>
    <w:rsid w:val="0004140C"/>
    <w:rsid w:val="00054A8B"/>
    <w:rsid w:val="000618D8"/>
    <w:rsid w:val="000A71DD"/>
    <w:rsid w:val="000C75CE"/>
    <w:rsid w:val="001229C0"/>
    <w:rsid w:val="00133671"/>
    <w:rsid w:val="001C1C1E"/>
    <w:rsid w:val="002568EB"/>
    <w:rsid w:val="002657C4"/>
    <w:rsid w:val="002E3CD2"/>
    <w:rsid w:val="002F1A36"/>
    <w:rsid w:val="00303CFB"/>
    <w:rsid w:val="0036161C"/>
    <w:rsid w:val="00383B5A"/>
    <w:rsid w:val="003841CE"/>
    <w:rsid w:val="003B1D6A"/>
    <w:rsid w:val="003D2571"/>
    <w:rsid w:val="003F0A18"/>
    <w:rsid w:val="00432CA2"/>
    <w:rsid w:val="00464482"/>
    <w:rsid w:val="00482E13"/>
    <w:rsid w:val="006345F3"/>
    <w:rsid w:val="006B2E8A"/>
    <w:rsid w:val="007333F0"/>
    <w:rsid w:val="007A7979"/>
    <w:rsid w:val="007D40C9"/>
    <w:rsid w:val="009261B3"/>
    <w:rsid w:val="0094513D"/>
    <w:rsid w:val="00985510"/>
    <w:rsid w:val="00A000C9"/>
    <w:rsid w:val="00A45F6E"/>
    <w:rsid w:val="00AB1C63"/>
    <w:rsid w:val="00B15159"/>
    <w:rsid w:val="00B3708D"/>
    <w:rsid w:val="00B40641"/>
    <w:rsid w:val="00B45CA8"/>
    <w:rsid w:val="00B71A6C"/>
    <w:rsid w:val="00B71EF3"/>
    <w:rsid w:val="00BD635D"/>
    <w:rsid w:val="00BF2510"/>
    <w:rsid w:val="00C05CA4"/>
    <w:rsid w:val="00C96A5A"/>
    <w:rsid w:val="00D16A5F"/>
    <w:rsid w:val="00D2015B"/>
    <w:rsid w:val="00D60993"/>
    <w:rsid w:val="00D71A52"/>
    <w:rsid w:val="00DC03B3"/>
    <w:rsid w:val="00E92960"/>
    <w:rsid w:val="00F067A4"/>
    <w:rsid w:val="00F44C18"/>
    <w:rsid w:val="00F84F91"/>
    <w:rsid w:val="00F90076"/>
    <w:rsid w:val="00FC234E"/>
    <w:rsid w:val="0C5E61D5"/>
    <w:rsid w:val="3F218133"/>
    <w:rsid w:val="48449D64"/>
    <w:rsid w:val="53C85AE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FBC88"/>
  <w15:chartTrackingRefBased/>
  <w15:docId w15:val="{07A3EF93-3F58-4B29-808F-8CF475768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618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618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618D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618D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618D8"/>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0618D8"/>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618D8"/>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0618D8"/>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618D8"/>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618D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618D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618D8"/>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618D8"/>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618D8"/>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0618D8"/>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618D8"/>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0618D8"/>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618D8"/>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0618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618D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618D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618D8"/>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618D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618D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618D8"/>
    <w:pPr>
      <w:ind w:left="720"/>
      <w:contextualSpacing/>
    </w:pPr>
  </w:style>
  <w:style w:type="character" w:styleId="Rykuspabraukimas">
    <w:name w:val="Intense Emphasis"/>
    <w:basedOn w:val="Numatytasispastraiposriftas"/>
    <w:uiPriority w:val="21"/>
    <w:qFormat/>
    <w:rsid w:val="000618D8"/>
    <w:rPr>
      <w:i/>
      <w:iCs/>
      <w:color w:val="2F5496" w:themeColor="accent1" w:themeShade="BF"/>
    </w:rPr>
  </w:style>
  <w:style w:type="paragraph" w:styleId="Iskirtacitata">
    <w:name w:val="Intense Quote"/>
    <w:basedOn w:val="prastasis"/>
    <w:next w:val="prastasis"/>
    <w:link w:val="IskirtacitataDiagrama"/>
    <w:uiPriority w:val="30"/>
    <w:qFormat/>
    <w:rsid w:val="000618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618D8"/>
    <w:rPr>
      <w:i/>
      <w:iCs/>
      <w:color w:val="2F5496" w:themeColor="accent1" w:themeShade="BF"/>
    </w:rPr>
  </w:style>
  <w:style w:type="character" w:styleId="Rykinuoroda">
    <w:name w:val="Intense Reference"/>
    <w:basedOn w:val="Numatytasispastraiposriftas"/>
    <w:uiPriority w:val="32"/>
    <w:qFormat/>
    <w:rsid w:val="000618D8"/>
    <w:rPr>
      <w:b/>
      <w:bCs/>
      <w:smallCaps/>
      <w:color w:val="2F5496" w:themeColor="accent1" w:themeShade="BF"/>
      <w:spacing w:val="5"/>
    </w:rPr>
  </w:style>
  <w:style w:type="paragraph" w:styleId="Pataisymai">
    <w:name w:val="Revision"/>
    <w:hidden/>
    <w:uiPriority w:val="99"/>
    <w:semiHidden/>
    <w:rsid w:val="001C1C1E"/>
    <w:pPr>
      <w:spacing w:after="0" w:line="240" w:lineRule="auto"/>
    </w:pPr>
  </w:style>
  <w:style w:type="character" w:styleId="Komentaronuoroda">
    <w:name w:val="annotation reference"/>
    <w:basedOn w:val="Numatytasispastraiposriftas"/>
    <w:uiPriority w:val="99"/>
    <w:semiHidden/>
    <w:unhideWhenUsed/>
    <w:rsid w:val="002E3CD2"/>
    <w:rPr>
      <w:sz w:val="16"/>
      <w:szCs w:val="16"/>
    </w:rPr>
  </w:style>
  <w:style w:type="paragraph" w:styleId="Komentarotekstas">
    <w:name w:val="annotation text"/>
    <w:basedOn w:val="prastasis"/>
    <w:link w:val="KomentarotekstasDiagrama"/>
    <w:uiPriority w:val="99"/>
    <w:unhideWhenUsed/>
    <w:rsid w:val="002E3CD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3CD2"/>
    <w:rPr>
      <w:sz w:val="20"/>
      <w:szCs w:val="20"/>
    </w:rPr>
  </w:style>
  <w:style w:type="paragraph" w:styleId="Komentarotema">
    <w:name w:val="annotation subject"/>
    <w:basedOn w:val="Komentarotekstas"/>
    <w:next w:val="Komentarotekstas"/>
    <w:link w:val="KomentarotemaDiagrama"/>
    <w:uiPriority w:val="99"/>
    <w:semiHidden/>
    <w:unhideWhenUsed/>
    <w:rsid w:val="002E3CD2"/>
  </w:style>
  <w:style w:type="character" w:customStyle="1" w:styleId="KomentarotemaDiagrama">
    <w:name w:val="Komentaro tema Diagrama"/>
    <w:basedOn w:val="KomentarotekstasDiagrama"/>
    <w:link w:val="Komentarotema"/>
    <w:uiPriority w:val="99"/>
    <w:semiHidden/>
    <w:rsid w:val="002E3CD2"/>
    <w:rPr>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A71DD"/>
  </w:style>
  <w:style w:type="character" w:styleId="Paminjimas">
    <w:name w:val="Mention"/>
    <w:basedOn w:val="Numatytasispastraiposriftas"/>
    <w:uiPriority w:val="99"/>
    <w:unhideWhenUsed/>
    <w:rsid w:val="00A45F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247C93-9A2E-4FE2-BA88-D70A2FD73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723DEA-09E3-47C5-8079-A66339DF2C67}">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E7CB734D-0D06-439D-AA33-B26CF6C7DC4C}">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4603</Words>
  <Characters>2624</Characters>
  <Application>Microsoft Office Word</Application>
  <DocSecurity>0</DocSecurity>
  <Lines>21</Lines>
  <Paragraphs>14</Paragraphs>
  <ScaleCrop>false</ScaleCrop>
  <Company/>
  <LinksUpToDate>false</LinksUpToDate>
  <CharactersWithSpaces>7213</CharactersWithSpaces>
  <SharedDoc>false</SharedDoc>
  <HLinks>
    <vt:vector size="12" baseType="variant">
      <vt:variant>
        <vt:i4>4259887</vt:i4>
      </vt:variant>
      <vt:variant>
        <vt:i4>3</vt:i4>
      </vt:variant>
      <vt:variant>
        <vt:i4>0</vt:i4>
      </vt:variant>
      <vt:variant>
        <vt:i4>5</vt:i4>
      </vt:variant>
      <vt:variant>
        <vt:lpwstr>mailto:Greta.Jatulionyte@vilniausvystymas.lt</vt:lpwstr>
      </vt:variant>
      <vt:variant>
        <vt:lpwstr/>
      </vt:variant>
      <vt:variant>
        <vt:i4>1769575</vt:i4>
      </vt:variant>
      <vt:variant>
        <vt:i4>0</vt:i4>
      </vt:variant>
      <vt:variant>
        <vt:i4>0</vt:i4>
      </vt:variant>
      <vt:variant>
        <vt:i4>5</vt:i4>
      </vt:variant>
      <vt:variant>
        <vt:lpwstr>mailto:agne.pliupele@vilniausvystymas.lt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Greta Jatulionytė</cp:lastModifiedBy>
  <cp:revision>51</cp:revision>
  <dcterms:created xsi:type="dcterms:W3CDTF">2025-09-06T01:51:00Z</dcterms:created>
  <dcterms:modified xsi:type="dcterms:W3CDTF">2025-09-16T14:58:00Z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